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9C" w:rsidRPr="00E9029C" w:rsidRDefault="00E9029C">
      <w:pPr>
        <w:pStyle w:val="ConsPlusNormal"/>
        <w:jc w:val="both"/>
        <w:rPr>
          <w:rFonts w:ascii="Arial" w:hAnsi="Arial" w:cs="Arial"/>
          <w:color w:val="000000" w:themeColor="text1"/>
          <w:szCs w:val="22"/>
        </w:rPr>
      </w:pPr>
      <w:bookmarkStart w:id="0" w:name="_GoBack"/>
      <w:bookmarkEnd w:id="0"/>
    </w:p>
    <w:p w:rsidR="00E9029C" w:rsidRPr="00E9029C" w:rsidRDefault="00E9029C">
      <w:pPr>
        <w:pStyle w:val="ConsPlusNormal"/>
        <w:jc w:val="right"/>
        <w:outlineLvl w:val="0"/>
        <w:rPr>
          <w:rFonts w:ascii="Arial" w:hAnsi="Arial" w:cs="Arial"/>
          <w:color w:val="000000" w:themeColor="text1"/>
          <w:szCs w:val="22"/>
        </w:rPr>
      </w:pPr>
      <w:r w:rsidRPr="00E9029C">
        <w:rPr>
          <w:rFonts w:ascii="Arial" w:hAnsi="Arial" w:cs="Arial"/>
          <w:color w:val="000000" w:themeColor="text1"/>
          <w:szCs w:val="22"/>
        </w:rPr>
        <w:t>Утверждено</w:t>
      </w: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Решением</w:t>
      </w:r>
    </w:p>
    <w:p w:rsidR="00E9029C" w:rsidRPr="00E9029C" w:rsidRDefault="00E9029C">
      <w:pPr>
        <w:pStyle w:val="ConsPlusNormal"/>
        <w:jc w:val="right"/>
        <w:rPr>
          <w:rFonts w:ascii="Arial" w:hAnsi="Arial" w:cs="Arial"/>
          <w:color w:val="000000" w:themeColor="text1"/>
          <w:szCs w:val="22"/>
        </w:rPr>
      </w:pP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районного</w:t>
      </w: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Совета народных депутатов</w:t>
      </w: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от 9 октября 2009 г. N 91/579-ОП</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Председатель</w:t>
      </w:r>
    </w:p>
    <w:p w:rsidR="00E9029C" w:rsidRPr="00E9029C" w:rsidRDefault="00E9029C">
      <w:pPr>
        <w:pStyle w:val="ConsPlusNormal"/>
        <w:jc w:val="right"/>
        <w:rPr>
          <w:rFonts w:ascii="Arial" w:hAnsi="Arial" w:cs="Arial"/>
          <w:color w:val="000000" w:themeColor="text1"/>
          <w:szCs w:val="22"/>
        </w:rPr>
      </w:pP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районного</w:t>
      </w: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Совета народных депутатов</w:t>
      </w:r>
    </w:p>
    <w:p w:rsidR="00E9029C" w:rsidRPr="00E9029C" w:rsidRDefault="00E9029C">
      <w:pPr>
        <w:pStyle w:val="ConsPlusNormal"/>
        <w:jc w:val="right"/>
        <w:rPr>
          <w:rFonts w:ascii="Arial" w:hAnsi="Arial" w:cs="Arial"/>
          <w:color w:val="000000" w:themeColor="text1"/>
          <w:szCs w:val="22"/>
        </w:rPr>
      </w:pPr>
      <w:r w:rsidRPr="00E9029C">
        <w:rPr>
          <w:rFonts w:ascii="Arial" w:hAnsi="Arial" w:cs="Arial"/>
          <w:color w:val="000000" w:themeColor="text1"/>
          <w:szCs w:val="22"/>
        </w:rPr>
        <w:t>А.Г.БАБИКОВ</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Title"/>
        <w:jc w:val="center"/>
        <w:rPr>
          <w:rFonts w:ascii="Arial" w:hAnsi="Arial" w:cs="Arial"/>
          <w:color w:val="000000" w:themeColor="text1"/>
          <w:szCs w:val="22"/>
        </w:rPr>
      </w:pPr>
      <w:bookmarkStart w:id="1" w:name="P41"/>
      <w:bookmarkEnd w:id="1"/>
      <w:r w:rsidRPr="00E9029C">
        <w:rPr>
          <w:rFonts w:ascii="Arial" w:hAnsi="Arial" w:cs="Arial"/>
          <w:color w:val="000000" w:themeColor="text1"/>
          <w:szCs w:val="22"/>
        </w:rPr>
        <w:t>ПОЛОЖЕНИЕ</w:t>
      </w:r>
    </w:p>
    <w:p w:rsidR="00E9029C" w:rsidRPr="00E9029C" w:rsidRDefault="00E9029C">
      <w:pPr>
        <w:pStyle w:val="ConsPlusTitle"/>
        <w:jc w:val="center"/>
        <w:rPr>
          <w:rFonts w:ascii="Arial" w:hAnsi="Arial" w:cs="Arial"/>
          <w:color w:val="000000" w:themeColor="text1"/>
          <w:szCs w:val="22"/>
        </w:rPr>
      </w:pPr>
      <w:r w:rsidRPr="00E9029C">
        <w:rPr>
          <w:rFonts w:ascii="Arial" w:hAnsi="Arial" w:cs="Arial"/>
          <w:color w:val="000000" w:themeColor="text1"/>
          <w:szCs w:val="22"/>
        </w:rPr>
        <w:t>О СИСТЕМЕ НАЛОГООБЛОЖЕНИЯ В ВИДЕ ЕДИНОГО НАЛОГА</w:t>
      </w:r>
    </w:p>
    <w:p w:rsidR="00E9029C" w:rsidRPr="00E9029C" w:rsidRDefault="00E9029C">
      <w:pPr>
        <w:pStyle w:val="ConsPlusTitle"/>
        <w:jc w:val="center"/>
        <w:rPr>
          <w:rFonts w:ascii="Arial" w:hAnsi="Arial" w:cs="Arial"/>
          <w:color w:val="000000" w:themeColor="text1"/>
          <w:szCs w:val="22"/>
        </w:rPr>
      </w:pPr>
      <w:r w:rsidRPr="00E9029C">
        <w:rPr>
          <w:rFonts w:ascii="Arial" w:hAnsi="Arial" w:cs="Arial"/>
          <w:color w:val="000000" w:themeColor="text1"/>
          <w:szCs w:val="22"/>
        </w:rPr>
        <w:t>НА ВМЕНЕННЫЙ ДОХОД ДЛЯ ОТДЕЛЬНЫХ ВИДОВ ДЕЯТЕЛЬНОСТИ</w:t>
      </w:r>
    </w:p>
    <w:p w:rsidR="00E9029C" w:rsidRPr="00E9029C" w:rsidRDefault="00E9029C">
      <w:pPr>
        <w:pStyle w:val="ConsPlusTitle"/>
        <w:jc w:val="center"/>
        <w:rPr>
          <w:rFonts w:ascii="Arial" w:hAnsi="Arial" w:cs="Arial"/>
          <w:color w:val="000000" w:themeColor="text1"/>
          <w:szCs w:val="22"/>
        </w:rPr>
      </w:pPr>
      <w:r w:rsidRPr="00E9029C">
        <w:rPr>
          <w:rFonts w:ascii="Arial" w:hAnsi="Arial" w:cs="Arial"/>
          <w:color w:val="000000" w:themeColor="text1"/>
          <w:szCs w:val="22"/>
        </w:rPr>
        <w:t>НА ТЕРРИТОРИИ КОТЕЛЬНИКОВСКОГО МУНИЦИПАЛЬНОГО РАЙОНА</w:t>
      </w:r>
    </w:p>
    <w:p w:rsidR="00E9029C" w:rsidRPr="00E9029C" w:rsidRDefault="00E9029C">
      <w:pPr>
        <w:pStyle w:val="ConsPlusNormal"/>
        <w:jc w:val="center"/>
        <w:rPr>
          <w:rFonts w:ascii="Arial" w:hAnsi="Arial" w:cs="Arial"/>
          <w:color w:val="000000" w:themeColor="text1"/>
          <w:szCs w:val="22"/>
        </w:rPr>
      </w:pPr>
    </w:p>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Список изменяющих документов</w:t>
      </w:r>
    </w:p>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 xml:space="preserve">(в ред. решений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w:t>
      </w:r>
    </w:p>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 xml:space="preserve">Волгоградской обл. от 27.11.2015 </w:t>
      </w:r>
      <w:hyperlink r:id="rId4" w:history="1">
        <w:r w:rsidRPr="00E9029C">
          <w:rPr>
            <w:rFonts w:ascii="Arial" w:hAnsi="Arial" w:cs="Arial"/>
            <w:color w:val="000000" w:themeColor="text1"/>
            <w:szCs w:val="22"/>
          </w:rPr>
          <w:t>N 22/142</w:t>
        </w:r>
      </w:hyperlink>
      <w:r w:rsidRPr="00E9029C">
        <w:rPr>
          <w:rFonts w:ascii="Arial" w:hAnsi="Arial" w:cs="Arial"/>
          <w:color w:val="000000" w:themeColor="text1"/>
          <w:szCs w:val="22"/>
        </w:rPr>
        <w:t xml:space="preserve">, от 22.12.2016 </w:t>
      </w:r>
      <w:hyperlink r:id="rId5" w:history="1">
        <w:r w:rsidRPr="00E9029C">
          <w:rPr>
            <w:rFonts w:ascii="Arial" w:hAnsi="Arial" w:cs="Arial"/>
            <w:color w:val="000000" w:themeColor="text1"/>
            <w:szCs w:val="22"/>
          </w:rPr>
          <w:t>N 36/252</w:t>
        </w:r>
      </w:hyperlink>
      <w:r w:rsidRPr="00E9029C">
        <w:rPr>
          <w:rFonts w:ascii="Arial" w:hAnsi="Arial" w:cs="Arial"/>
          <w:color w:val="000000" w:themeColor="text1"/>
          <w:szCs w:val="22"/>
        </w:rPr>
        <w:t>)</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1. </w:t>
      </w:r>
      <w:hyperlink r:id="rId6" w:history="1">
        <w:r w:rsidRPr="00E9029C">
          <w:rPr>
            <w:rFonts w:ascii="Arial" w:hAnsi="Arial" w:cs="Arial"/>
            <w:color w:val="000000" w:themeColor="text1"/>
            <w:szCs w:val="22"/>
          </w:rPr>
          <w:t>Система налогообложения</w:t>
        </w:r>
      </w:hyperlink>
      <w:r w:rsidRPr="00E9029C">
        <w:rPr>
          <w:rFonts w:ascii="Arial" w:hAnsi="Arial" w:cs="Arial"/>
          <w:color w:val="000000" w:themeColor="text1"/>
          <w:szCs w:val="22"/>
        </w:rPr>
        <w:t xml:space="preserve"> в виде единого налога на вмененный доход для отдельных видов деятельности (далее - единый налог) применяется на территории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муниципального района наряду с общей системой налогообложения и иными режимами налогообложения, предусмотренными </w:t>
      </w:r>
      <w:hyperlink r:id="rId7" w:history="1">
        <w:r w:rsidRPr="00E9029C">
          <w:rPr>
            <w:rFonts w:ascii="Arial" w:hAnsi="Arial" w:cs="Arial"/>
            <w:color w:val="000000" w:themeColor="text1"/>
            <w:szCs w:val="22"/>
          </w:rPr>
          <w:t>законодательством</w:t>
        </w:r>
      </w:hyperlink>
      <w:r w:rsidRPr="00E9029C">
        <w:rPr>
          <w:rFonts w:ascii="Arial" w:hAnsi="Arial" w:cs="Arial"/>
          <w:color w:val="000000" w:themeColor="text1"/>
          <w:szCs w:val="22"/>
        </w:rPr>
        <w:t xml:space="preserve"> Российской Федерации о налогах и сборах, в отношении следующих видов предпринимательской деятельности: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1) оказание бытовых услуг. Коды видов деятельности в соответствии с Общероссийским </w:t>
      </w:r>
      <w:hyperlink r:id="rId8" w:history="1">
        <w:r w:rsidRPr="00E9029C">
          <w:rPr>
            <w:rFonts w:ascii="Arial" w:hAnsi="Arial" w:cs="Arial"/>
            <w:color w:val="000000" w:themeColor="text1"/>
            <w:szCs w:val="22"/>
          </w:rPr>
          <w:t>классификатором</w:t>
        </w:r>
      </w:hyperlink>
      <w:r w:rsidRPr="00E9029C">
        <w:rPr>
          <w:rFonts w:ascii="Arial" w:hAnsi="Arial" w:cs="Arial"/>
          <w:color w:val="000000" w:themeColor="text1"/>
          <w:szCs w:val="22"/>
        </w:rPr>
        <w:t xml:space="preserve"> видов экономической деятельности и коды услуг в соответствии с Общероссийским </w:t>
      </w:r>
      <w:hyperlink r:id="rId9" w:history="1">
        <w:r w:rsidRPr="00E9029C">
          <w:rPr>
            <w:rFonts w:ascii="Arial" w:hAnsi="Arial" w:cs="Arial"/>
            <w:color w:val="000000" w:themeColor="text1"/>
            <w:szCs w:val="22"/>
          </w:rPr>
          <w:t>классификатором</w:t>
        </w:r>
      </w:hyperlink>
      <w:r w:rsidRPr="00E9029C">
        <w:rPr>
          <w:rFonts w:ascii="Arial" w:hAnsi="Arial" w:cs="Arial"/>
          <w:color w:val="000000" w:themeColor="text1"/>
          <w:szCs w:val="22"/>
        </w:rPr>
        <w:t xml:space="preserve"> продукции по видам экономической деятельности, относящимся к бытовым услугам, определяются Правительством Российской Федерации;</w:t>
      </w:r>
    </w:p>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w:t>
      </w:r>
      <w:proofErr w:type="spellStart"/>
      <w:r w:rsidRPr="00E9029C">
        <w:rPr>
          <w:rFonts w:ascii="Arial" w:hAnsi="Arial" w:cs="Arial"/>
          <w:color w:val="000000" w:themeColor="text1"/>
          <w:szCs w:val="22"/>
        </w:rPr>
        <w:t>пп</w:t>
      </w:r>
      <w:proofErr w:type="spellEnd"/>
      <w:r w:rsidRPr="00E9029C">
        <w:rPr>
          <w:rFonts w:ascii="Arial" w:hAnsi="Arial" w:cs="Arial"/>
          <w:color w:val="000000" w:themeColor="text1"/>
          <w:szCs w:val="22"/>
        </w:rPr>
        <w:t xml:space="preserve">. 1 в ред. </w:t>
      </w:r>
      <w:hyperlink r:id="rId10"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22.12.2016 N 36/252)</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2) оказание ветеринарных услуг;</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3) оказание услуг по ремонту, техническому обслуживанию и мойке автомототранспортных средств;</w:t>
      </w:r>
    </w:p>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w:t>
      </w:r>
      <w:proofErr w:type="spellStart"/>
      <w:r w:rsidRPr="00E9029C">
        <w:rPr>
          <w:rFonts w:ascii="Arial" w:hAnsi="Arial" w:cs="Arial"/>
          <w:color w:val="000000" w:themeColor="text1"/>
          <w:szCs w:val="22"/>
        </w:rPr>
        <w:t>пп</w:t>
      </w:r>
      <w:proofErr w:type="spellEnd"/>
      <w:r w:rsidRPr="00E9029C">
        <w:rPr>
          <w:rFonts w:ascii="Arial" w:hAnsi="Arial" w:cs="Arial"/>
          <w:color w:val="000000" w:themeColor="text1"/>
          <w:szCs w:val="22"/>
        </w:rPr>
        <w:t xml:space="preserve">. 3 в ред. </w:t>
      </w:r>
      <w:hyperlink r:id="rId11"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w:t>
      </w:r>
      <w:proofErr w:type="spellStart"/>
      <w:r w:rsidRPr="00E9029C">
        <w:rPr>
          <w:rFonts w:ascii="Arial" w:hAnsi="Arial" w:cs="Arial"/>
          <w:color w:val="000000" w:themeColor="text1"/>
          <w:szCs w:val="22"/>
        </w:rPr>
        <w:t>пп</w:t>
      </w:r>
      <w:proofErr w:type="spellEnd"/>
      <w:r w:rsidRPr="00E9029C">
        <w:rPr>
          <w:rFonts w:ascii="Arial" w:hAnsi="Arial" w:cs="Arial"/>
          <w:color w:val="000000" w:themeColor="text1"/>
          <w:szCs w:val="22"/>
        </w:rPr>
        <w:t xml:space="preserve">. 4 в ред. </w:t>
      </w:r>
      <w:hyperlink r:id="rId12"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Для целей настоящего Положения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7)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Положения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w:t>
      </w:r>
      <w:r w:rsidRPr="00E9029C">
        <w:rPr>
          <w:rFonts w:ascii="Arial" w:hAnsi="Arial" w:cs="Arial"/>
          <w:color w:val="000000" w:themeColor="text1"/>
          <w:szCs w:val="22"/>
        </w:rPr>
        <w:lastRenderedPageBreak/>
        <w:t>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9) оказание услуг общественного питания, осуществляемых через объекты организации общественного питания, не имеющие залов обслуживания посетителей;</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10) распространение наружной рекламы с использованием рекламных конструкций;</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11) размещения рекламы с использованием внешних и внутренних поверхностей транспортных средств;</w:t>
      </w:r>
    </w:p>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w:t>
      </w:r>
      <w:proofErr w:type="spellStart"/>
      <w:r w:rsidRPr="00E9029C">
        <w:rPr>
          <w:rFonts w:ascii="Arial" w:hAnsi="Arial" w:cs="Arial"/>
          <w:color w:val="000000" w:themeColor="text1"/>
          <w:szCs w:val="22"/>
        </w:rPr>
        <w:t>пп</w:t>
      </w:r>
      <w:proofErr w:type="spellEnd"/>
      <w:r w:rsidRPr="00E9029C">
        <w:rPr>
          <w:rFonts w:ascii="Arial" w:hAnsi="Arial" w:cs="Arial"/>
          <w:color w:val="000000" w:themeColor="text1"/>
          <w:szCs w:val="22"/>
        </w:rPr>
        <w:t xml:space="preserve">. 11 в ред. </w:t>
      </w:r>
      <w:hyperlink r:id="rId13"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2. Установить, что значение корректирующего коэффициента базовой доходности (К2), учитывающего совокупность особенностей ведения предпринимательской деятельности, рассчитывается по следующей формуле:</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 xml:space="preserve">К2 = </w:t>
      </w:r>
      <w:proofErr w:type="spellStart"/>
      <w:r w:rsidRPr="00E9029C">
        <w:rPr>
          <w:rFonts w:ascii="Arial" w:hAnsi="Arial" w:cs="Arial"/>
          <w:color w:val="000000" w:themeColor="text1"/>
          <w:szCs w:val="22"/>
        </w:rPr>
        <w:t>Кас</w:t>
      </w:r>
      <w:proofErr w:type="spellEnd"/>
      <w:r w:rsidRPr="00E9029C">
        <w:rPr>
          <w:rFonts w:ascii="Arial" w:hAnsi="Arial" w:cs="Arial"/>
          <w:color w:val="000000" w:themeColor="text1"/>
          <w:szCs w:val="22"/>
        </w:rPr>
        <w:t xml:space="preserve"> x Км x Кио, где:</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ind w:firstLine="540"/>
        <w:jc w:val="both"/>
        <w:rPr>
          <w:rFonts w:ascii="Arial" w:hAnsi="Arial" w:cs="Arial"/>
          <w:color w:val="000000" w:themeColor="text1"/>
          <w:szCs w:val="22"/>
        </w:rPr>
      </w:pPr>
      <w:proofErr w:type="spellStart"/>
      <w:r w:rsidRPr="00E9029C">
        <w:rPr>
          <w:rFonts w:ascii="Arial" w:hAnsi="Arial" w:cs="Arial"/>
          <w:color w:val="000000" w:themeColor="text1"/>
          <w:szCs w:val="22"/>
        </w:rPr>
        <w:t>Кас</w:t>
      </w:r>
      <w:proofErr w:type="spellEnd"/>
      <w:r w:rsidRPr="00E9029C">
        <w:rPr>
          <w:rFonts w:ascii="Arial" w:hAnsi="Arial" w:cs="Arial"/>
          <w:color w:val="000000" w:themeColor="text1"/>
          <w:szCs w:val="22"/>
        </w:rPr>
        <w:t xml:space="preserve"> - коэффициент, учитывающий ассортимент товаров и виды работ (услуг);</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Км - коэффициент, учитывающий особенности ведения предпринимательской деятельности;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Кио - коэффициент, учитывающий иные особенности ведения предпринимательской деятельности.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3. Установить значения коэффициента, учитывающего ассортимент товаров и виды работ (услуг) (</w:t>
      </w:r>
      <w:proofErr w:type="spellStart"/>
      <w:r w:rsidRPr="00E9029C">
        <w:rPr>
          <w:rFonts w:ascii="Arial" w:hAnsi="Arial" w:cs="Arial"/>
          <w:color w:val="000000" w:themeColor="text1"/>
          <w:szCs w:val="22"/>
        </w:rPr>
        <w:t>Кас</w:t>
      </w:r>
      <w:proofErr w:type="spellEnd"/>
      <w:r w:rsidRPr="00E9029C">
        <w:rPr>
          <w:rFonts w:ascii="Arial" w:hAnsi="Arial" w:cs="Arial"/>
          <w:color w:val="000000" w:themeColor="text1"/>
          <w:szCs w:val="22"/>
        </w:rPr>
        <w:t>), согласно таблице в следующих размерах:</w:t>
      </w:r>
    </w:p>
    <w:p w:rsidR="00E9029C" w:rsidRPr="00E9029C" w:rsidRDefault="00E9029C">
      <w:pPr>
        <w:pStyle w:val="ConsPlusNormal"/>
        <w:jc w:val="both"/>
        <w:rPr>
          <w:rFonts w:ascii="Arial" w:hAnsi="Arial" w:cs="Arial"/>
          <w:color w:val="000000" w:themeColor="text1"/>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6236"/>
        <w:gridCol w:w="1485"/>
      </w:tblGrid>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N п/п</w:t>
            </w:r>
          </w:p>
        </w:tc>
        <w:tc>
          <w:tcPr>
            <w:tcW w:w="6236"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Ассортимент товаров и виды работ (услуг)</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 xml:space="preserve">Значение </w:t>
            </w:r>
            <w:proofErr w:type="spellStart"/>
            <w:r w:rsidRPr="00E9029C">
              <w:rPr>
                <w:rFonts w:ascii="Arial" w:hAnsi="Arial" w:cs="Arial"/>
                <w:color w:val="000000" w:themeColor="text1"/>
                <w:szCs w:val="22"/>
              </w:rPr>
              <w:t>Кас</w:t>
            </w:r>
            <w:proofErr w:type="spellEnd"/>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Бытовые услуги</w:t>
            </w:r>
          </w:p>
        </w:tc>
        <w:tc>
          <w:tcPr>
            <w:tcW w:w="1485" w:type="dxa"/>
          </w:tcPr>
          <w:p w:rsidR="00E9029C" w:rsidRPr="00E9029C" w:rsidRDefault="00E9029C">
            <w:pPr>
              <w:pStyle w:val="ConsPlusNormal"/>
              <w:rPr>
                <w:rFonts w:ascii="Arial" w:hAnsi="Arial" w:cs="Arial"/>
                <w:color w:val="000000" w:themeColor="text1"/>
                <w:szCs w:val="22"/>
              </w:rPr>
            </w:pP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окраска и пошив обуви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0,21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пошив швейных изделий текстильной галантереи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0,24</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пошив меховых и кожаных изделий, головных уборов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0,30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пошив и вязание трикотажных изделий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0,13</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1.5.</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техническое обслуживание бытовой радиоэлектронной аппаратуры, бытовых машин и бытовых приборов, за исключением ремонта и технического обслуживания персональных ЭВМ и оргтехники к ним, электротехнических игр</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0,41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1.6.</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техническое обслуживание персональных ЭВМ и оргтехники к ним, электротехнических игр</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0,68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1.7.</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часов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1.8.</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изготовление металлоизделий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0,44</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lastRenderedPageBreak/>
              <w:t>1.9.</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изготовление ювелирных изделий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blPrEx>
          <w:tblBorders>
            <w:insideH w:val="nil"/>
          </w:tblBorders>
        </w:tblPrEx>
        <w:tc>
          <w:tcPr>
            <w:tcW w:w="9041" w:type="dxa"/>
            <w:gridSpan w:val="3"/>
            <w:tcBorders>
              <w:bottom w:val="nil"/>
            </w:tcBorders>
          </w:tcPr>
          <w:p w:rsidR="00E9029C" w:rsidRPr="00E9029C" w:rsidRDefault="00E9029C">
            <w:pPr>
              <w:pStyle w:val="ConsPlusNormal"/>
              <w:pBdr>
                <w:top w:val="single" w:sz="6" w:space="0" w:color="auto"/>
              </w:pBdr>
              <w:spacing w:before="100" w:after="100"/>
              <w:jc w:val="both"/>
              <w:rPr>
                <w:rFonts w:ascii="Arial" w:hAnsi="Arial" w:cs="Arial"/>
                <w:color w:val="000000" w:themeColor="text1"/>
                <w:szCs w:val="22"/>
              </w:rPr>
            </w:pPr>
          </w:p>
          <w:p w:rsidR="00E9029C" w:rsidRPr="00E9029C" w:rsidRDefault="00E9029C">
            <w:pPr>
              <w:pStyle w:val="ConsPlusNormal"/>
              <w:ind w:firstLine="540"/>
              <w:jc w:val="both"/>
              <w:rPr>
                <w:rFonts w:ascii="Arial" w:hAnsi="Arial" w:cs="Arial"/>
                <w:color w:val="000000" w:themeColor="text1"/>
                <w:szCs w:val="22"/>
              </w:rPr>
            </w:pPr>
            <w:proofErr w:type="spellStart"/>
            <w:r w:rsidRPr="00E9029C">
              <w:rPr>
                <w:rFonts w:ascii="Arial" w:hAnsi="Arial" w:cs="Arial"/>
                <w:color w:val="000000" w:themeColor="text1"/>
                <w:szCs w:val="22"/>
              </w:rPr>
              <w:t>КонсультантПлюс</w:t>
            </w:r>
            <w:proofErr w:type="spellEnd"/>
            <w:r w:rsidRPr="00E9029C">
              <w:rPr>
                <w:rFonts w:ascii="Arial" w:hAnsi="Arial" w:cs="Arial"/>
                <w:color w:val="000000" w:themeColor="text1"/>
                <w:szCs w:val="22"/>
              </w:rPr>
              <w:t>: примечание.</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Нумерация подпунктов дана в соответствии с официальным текстом документа.</w:t>
            </w:r>
          </w:p>
          <w:p w:rsidR="00E9029C" w:rsidRPr="00E9029C" w:rsidRDefault="00E9029C">
            <w:pPr>
              <w:pStyle w:val="ConsPlusNormal"/>
              <w:pBdr>
                <w:top w:val="single" w:sz="6" w:space="0" w:color="auto"/>
              </w:pBdr>
              <w:spacing w:before="100" w:after="100"/>
              <w:jc w:val="both"/>
              <w:rPr>
                <w:rFonts w:ascii="Arial" w:hAnsi="Arial" w:cs="Arial"/>
                <w:color w:val="000000" w:themeColor="text1"/>
                <w:szCs w:val="22"/>
              </w:rPr>
            </w:pPr>
          </w:p>
        </w:tc>
      </w:tr>
      <w:tr w:rsidR="00E9029C" w:rsidRPr="00E9029C">
        <w:tblPrEx>
          <w:tblBorders>
            <w:insideH w:val="nil"/>
          </w:tblBorders>
        </w:tblPrEx>
        <w:tc>
          <w:tcPr>
            <w:tcW w:w="1320" w:type="dxa"/>
            <w:tcBorders>
              <w:top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w:t>
            </w:r>
          </w:p>
        </w:tc>
        <w:tc>
          <w:tcPr>
            <w:tcW w:w="6236" w:type="dxa"/>
            <w:tcBorders>
              <w:top w:val="nil"/>
            </w:tcBorders>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Изготовление и ремонт мебели</w:t>
            </w:r>
          </w:p>
        </w:tc>
        <w:tc>
          <w:tcPr>
            <w:tcW w:w="1485" w:type="dxa"/>
            <w:tcBorders>
              <w:top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Химическая чистка и крашение, услуги прачечных</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Ремонт и строительство жилья и других построек по заказам населения</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фото- и кинолабораторий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0,32</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1.13.1.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фотоателье</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0,26</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парикмахерских</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0,41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1.15.</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прокату, за исключением услуг по прокату видеокассет</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0,25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1.16.</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Ритуальные услуги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0,41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1.17.</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Нарезка стекла и зеркал, художественная обработка стекла</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0,31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1.18.</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Другие виды бытовых услуг</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0,65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Ветеринарные услуги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0,25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Розничная (разносная) торговля</w:t>
            </w:r>
          </w:p>
        </w:tc>
        <w:tc>
          <w:tcPr>
            <w:tcW w:w="1485" w:type="dxa"/>
          </w:tcPr>
          <w:p w:rsidR="00E9029C" w:rsidRPr="00E9029C" w:rsidRDefault="00E9029C">
            <w:pPr>
              <w:pStyle w:val="ConsPlusNormal"/>
              <w:rPr>
                <w:rFonts w:ascii="Arial" w:hAnsi="Arial" w:cs="Arial"/>
                <w:color w:val="000000" w:themeColor="text1"/>
                <w:szCs w:val="22"/>
              </w:rPr>
            </w:pP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Торговля продовольственными товарами, за исключением торговли алкогольной продукцией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Торговля алкогольной продукцией</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 xml:space="preserve">Торговля непродовольственными товарами, за исключением торговли технически сложными товарами бытового назначения, мебелью, мотоциклами с мощностью двигателя до 112,5 кВт (150 </w:t>
            </w:r>
            <w:proofErr w:type="spellStart"/>
            <w:r w:rsidRPr="00E9029C">
              <w:rPr>
                <w:rFonts w:ascii="Arial" w:hAnsi="Arial" w:cs="Arial"/>
                <w:color w:val="000000" w:themeColor="text1"/>
                <w:szCs w:val="22"/>
              </w:rPr>
              <w:t>л.с</w:t>
            </w:r>
            <w:proofErr w:type="spellEnd"/>
            <w:r w:rsidRPr="00E9029C">
              <w:rPr>
                <w:rFonts w:ascii="Arial" w:hAnsi="Arial" w:cs="Arial"/>
                <w:color w:val="000000" w:themeColor="text1"/>
                <w:szCs w:val="22"/>
              </w:rPr>
              <w:t>.), оружием и патронами к нему, ювелирными изделиями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 xml:space="preserve">Торговля технически сложными товарами бытового назначения, мебелью, мотоциклами с мощностью двигателя до 112,5 кВт (150 </w:t>
            </w:r>
            <w:proofErr w:type="spellStart"/>
            <w:r w:rsidRPr="00E9029C">
              <w:rPr>
                <w:rFonts w:ascii="Arial" w:hAnsi="Arial" w:cs="Arial"/>
                <w:color w:val="000000" w:themeColor="text1"/>
                <w:szCs w:val="22"/>
              </w:rPr>
              <w:t>л.с</w:t>
            </w:r>
            <w:proofErr w:type="spellEnd"/>
            <w:r w:rsidRPr="00E9029C">
              <w:rPr>
                <w:rFonts w:ascii="Arial" w:hAnsi="Arial" w:cs="Arial"/>
                <w:color w:val="000000" w:themeColor="text1"/>
                <w:szCs w:val="22"/>
              </w:rPr>
              <w:t>.), ювелирными изделиями</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3.5.</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Развозная и разносная розничная торговля</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общественного питания</w:t>
            </w:r>
          </w:p>
        </w:tc>
        <w:tc>
          <w:tcPr>
            <w:tcW w:w="1485" w:type="dxa"/>
          </w:tcPr>
          <w:p w:rsidR="00E9029C" w:rsidRPr="00E9029C" w:rsidRDefault="00E9029C">
            <w:pPr>
              <w:pStyle w:val="ConsPlusNormal"/>
              <w:rPr>
                <w:rFonts w:ascii="Arial" w:hAnsi="Arial" w:cs="Arial"/>
                <w:color w:val="000000" w:themeColor="text1"/>
                <w:szCs w:val="22"/>
              </w:rPr>
            </w:pP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4.1.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питания ресторана</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4.2.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питания кафе</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0,9</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4.3.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питания бара</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0,9</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4.4.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 xml:space="preserve">Услуги питания столовой, закусочной, предприятий других </w:t>
            </w:r>
            <w:r w:rsidRPr="00E9029C">
              <w:rPr>
                <w:rFonts w:ascii="Arial" w:hAnsi="Arial" w:cs="Arial"/>
                <w:color w:val="000000" w:themeColor="text1"/>
                <w:szCs w:val="22"/>
              </w:rPr>
              <w:lastRenderedPageBreak/>
              <w:t>типов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lastRenderedPageBreak/>
              <w:t>0,5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lastRenderedPageBreak/>
              <w:t>5.</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автотранспортных услуг</w:t>
            </w:r>
          </w:p>
        </w:tc>
        <w:tc>
          <w:tcPr>
            <w:tcW w:w="1485" w:type="dxa"/>
          </w:tcPr>
          <w:p w:rsidR="00E9029C" w:rsidRPr="00E9029C" w:rsidRDefault="00E9029C">
            <w:pPr>
              <w:pStyle w:val="ConsPlusNormal"/>
              <w:rPr>
                <w:rFonts w:ascii="Arial" w:hAnsi="Arial" w:cs="Arial"/>
                <w:color w:val="000000" w:themeColor="text1"/>
                <w:szCs w:val="22"/>
              </w:rPr>
            </w:pP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5.1.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перевозке пассажиров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5.2.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перевозке грузов с использованием транспортных средств грузоподъемностью до 1 т включительно</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0,4</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5.3.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перевозке грузов с использованием транспортных средств грузоподъемностью свыше 1 т до 2 т включительно</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0,6</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5.4.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перевозке грузов с использованием транспортных средств грузоподъемностью свыше 2 т до 3 т включительно</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0,8</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5.5.</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Услуги по перевозке грузов с использованием транспортных средств грузоподъемностью свыше 3 т</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платных услуг</w:t>
            </w:r>
          </w:p>
        </w:tc>
        <w:tc>
          <w:tcPr>
            <w:tcW w:w="1485" w:type="dxa"/>
          </w:tcPr>
          <w:p w:rsidR="00E9029C" w:rsidRPr="00E9029C" w:rsidRDefault="00E9029C">
            <w:pPr>
              <w:pStyle w:val="ConsPlusNormal"/>
              <w:rPr>
                <w:rFonts w:ascii="Arial" w:hAnsi="Arial" w:cs="Arial"/>
                <w:color w:val="000000" w:themeColor="text1"/>
                <w:szCs w:val="22"/>
              </w:rPr>
            </w:pPr>
          </w:p>
        </w:tc>
      </w:tr>
      <w:tr w:rsidR="00E9029C" w:rsidRPr="00E9029C">
        <w:tblPrEx>
          <w:tblBorders>
            <w:insideH w:val="nil"/>
          </w:tblBorders>
        </w:tblPrEx>
        <w:tc>
          <w:tcPr>
            <w:tcW w:w="1320"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6.1.</w:t>
            </w:r>
          </w:p>
        </w:tc>
        <w:tc>
          <w:tcPr>
            <w:tcW w:w="6236" w:type="dxa"/>
            <w:tcBorders>
              <w:bottom w:val="nil"/>
            </w:tcBorders>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1485"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0,5</w:t>
            </w:r>
          </w:p>
        </w:tc>
      </w:tr>
      <w:tr w:rsidR="00E9029C" w:rsidRPr="00E9029C">
        <w:tblPrEx>
          <w:tblBorders>
            <w:insideH w:val="nil"/>
          </w:tblBorders>
        </w:tblPrEx>
        <w:tc>
          <w:tcPr>
            <w:tcW w:w="9041" w:type="dxa"/>
            <w:gridSpan w:val="3"/>
            <w:tcBorders>
              <w:top w:val="nil"/>
            </w:tcBorders>
          </w:tcPr>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 xml:space="preserve">(п. 6.1 в ред. </w:t>
            </w:r>
            <w:hyperlink r:id="rId14"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6.2.</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6.3.</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Распространение наружной рекламы с использованием рекламных конструкций с автоматической сменой изображения</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6.4.</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Распространение наружной рекламы посредством электронных табло</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blPrEx>
          <w:tblBorders>
            <w:insideH w:val="nil"/>
          </w:tblBorders>
        </w:tblPrEx>
        <w:tc>
          <w:tcPr>
            <w:tcW w:w="1320"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6.5.</w:t>
            </w:r>
          </w:p>
        </w:tc>
        <w:tc>
          <w:tcPr>
            <w:tcW w:w="6236" w:type="dxa"/>
            <w:tcBorders>
              <w:bottom w:val="nil"/>
            </w:tcBorders>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Размещение рекламы с использованием внешних и внутренних поверхностей транспортных средств</w:t>
            </w:r>
          </w:p>
        </w:tc>
        <w:tc>
          <w:tcPr>
            <w:tcW w:w="1485"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1,0</w:t>
            </w:r>
          </w:p>
        </w:tc>
      </w:tr>
      <w:tr w:rsidR="00E9029C" w:rsidRPr="00E9029C">
        <w:tblPrEx>
          <w:tblBorders>
            <w:insideH w:val="nil"/>
          </w:tblBorders>
        </w:tblPrEx>
        <w:tc>
          <w:tcPr>
            <w:tcW w:w="9041" w:type="dxa"/>
            <w:gridSpan w:val="3"/>
            <w:tcBorders>
              <w:top w:val="nil"/>
            </w:tcBorders>
          </w:tcPr>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 xml:space="preserve">(п. 6.5 в ред. </w:t>
            </w:r>
            <w:hyperlink r:id="rId15"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6.6.</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услуг по временному размещению и проживанию</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0,8</w:t>
            </w:r>
          </w:p>
        </w:tc>
      </w:tr>
      <w:tr w:rsidR="00E9029C" w:rsidRPr="00E9029C">
        <w:tblPrEx>
          <w:tblBorders>
            <w:insideH w:val="nil"/>
          </w:tblBorders>
        </w:tblPrEx>
        <w:tc>
          <w:tcPr>
            <w:tcW w:w="1320"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6.7.</w:t>
            </w:r>
          </w:p>
        </w:tc>
        <w:tc>
          <w:tcPr>
            <w:tcW w:w="6236" w:type="dxa"/>
            <w:tcBorders>
              <w:bottom w:val="nil"/>
            </w:tcBorders>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услуг по ремонту, техническому обслуживанию и мойке автомототранспортных средств</w:t>
            </w:r>
          </w:p>
        </w:tc>
        <w:tc>
          <w:tcPr>
            <w:tcW w:w="1485" w:type="dxa"/>
            <w:tcBorders>
              <w:bottom w:val="nil"/>
            </w:tcBorders>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0,9</w:t>
            </w:r>
          </w:p>
        </w:tc>
      </w:tr>
      <w:tr w:rsidR="00E9029C" w:rsidRPr="00E9029C">
        <w:tblPrEx>
          <w:tblBorders>
            <w:insideH w:val="nil"/>
          </w:tblBorders>
        </w:tblPrEx>
        <w:tc>
          <w:tcPr>
            <w:tcW w:w="9041" w:type="dxa"/>
            <w:gridSpan w:val="3"/>
            <w:tcBorders>
              <w:top w:val="nil"/>
            </w:tcBorders>
          </w:tcPr>
          <w:p w:rsidR="00E9029C" w:rsidRPr="00E9029C" w:rsidRDefault="00E9029C">
            <w:pPr>
              <w:pStyle w:val="ConsPlusNormal"/>
              <w:jc w:val="both"/>
              <w:rPr>
                <w:rFonts w:ascii="Arial" w:hAnsi="Arial" w:cs="Arial"/>
                <w:color w:val="000000" w:themeColor="text1"/>
                <w:szCs w:val="22"/>
              </w:rPr>
            </w:pPr>
            <w:r w:rsidRPr="00E9029C">
              <w:rPr>
                <w:rFonts w:ascii="Arial" w:hAnsi="Arial" w:cs="Arial"/>
                <w:color w:val="000000" w:themeColor="text1"/>
                <w:szCs w:val="22"/>
              </w:rPr>
              <w:t xml:space="preserve">(п. 6.7 в ред. </w:t>
            </w:r>
            <w:hyperlink r:id="rId16" w:history="1">
              <w:r w:rsidRPr="00E9029C">
                <w:rPr>
                  <w:rFonts w:ascii="Arial" w:hAnsi="Arial" w:cs="Arial"/>
                  <w:color w:val="000000" w:themeColor="text1"/>
                  <w:szCs w:val="22"/>
                </w:rPr>
                <w:t>решения</w:t>
              </w:r>
            </w:hyperlink>
            <w:r w:rsidRPr="00E9029C">
              <w:rPr>
                <w:rFonts w:ascii="Arial" w:hAnsi="Arial" w:cs="Arial"/>
                <w:color w:val="000000" w:themeColor="text1"/>
                <w:szCs w:val="22"/>
              </w:rPr>
              <w:t xml:space="preserve"> </w:t>
            </w:r>
            <w:proofErr w:type="spellStart"/>
            <w:r w:rsidRPr="00E9029C">
              <w:rPr>
                <w:rFonts w:ascii="Arial" w:hAnsi="Arial" w:cs="Arial"/>
                <w:color w:val="000000" w:themeColor="text1"/>
                <w:szCs w:val="22"/>
              </w:rPr>
              <w:t>Котельниковского</w:t>
            </w:r>
            <w:proofErr w:type="spellEnd"/>
            <w:r w:rsidRPr="00E9029C">
              <w:rPr>
                <w:rFonts w:ascii="Arial" w:hAnsi="Arial" w:cs="Arial"/>
                <w:color w:val="000000" w:themeColor="text1"/>
                <w:szCs w:val="22"/>
              </w:rPr>
              <w:t xml:space="preserve"> райсовета народных депутатов Волгоградской обл. от 27.11.2015 N 22/142)</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6.8.</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 xml:space="preserve">Оказание услуг по передаче во временное владение и (или) в пользование торговых мест, расположенных в </w:t>
            </w:r>
            <w:r w:rsidRPr="00E9029C">
              <w:rPr>
                <w:rFonts w:ascii="Arial" w:hAnsi="Arial" w:cs="Arial"/>
                <w:color w:val="000000" w:themeColor="text1"/>
                <w:szCs w:val="22"/>
              </w:rPr>
              <w:lastRenderedPageBreak/>
              <w:t>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lastRenderedPageBreak/>
              <w:t>0,05</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lastRenderedPageBreak/>
              <w:t>6.9.</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7.0.</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w:t>
            </w:r>
          </w:p>
        </w:tc>
      </w:tr>
      <w:tr w:rsidR="00E9029C" w:rsidRPr="00E9029C">
        <w:tc>
          <w:tcPr>
            <w:tcW w:w="1320"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7.1.</w:t>
            </w:r>
          </w:p>
        </w:tc>
        <w:tc>
          <w:tcPr>
            <w:tcW w:w="6236" w:type="dxa"/>
          </w:tcPr>
          <w:p w:rsidR="00E9029C" w:rsidRPr="00E9029C" w:rsidRDefault="00E9029C">
            <w:pPr>
              <w:pStyle w:val="ConsPlusNormal"/>
              <w:rPr>
                <w:rFonts w:ascii="Arial" w:hAnsi="Arial" w:cs="Arial"/>
                <w:color w:val="000000" w:themeColor="text1"/>
                <w:szCs w:val="22"/>
              </w:rPr>
            </w:pPr>
            <w:r w:rsidRPr="00E9029C">
              <w:rPr>
                <w:rFonts w:ascii="Arial" w:hAnsi="Arial" w:cs="Arial"/>
                <w:color w:val="000000" w:themeColor="text1"/>
                <w:szCs w:val="22"/>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метров</w:t>
            </w:r>
          </w:p>
        </w:tc>
        <w:tc>
          <w:tcPr>
            <w:tcW w:w="1485" w:type="dxa"/>
          </w:tcPr>
          <w:p w:rsidR="00E9029C" w:rsidRPr="00E9029C" w:rsidRDefault="00E9029C">
            <w:pPr>
              <w:pStyle w:val="ConsPlusNormal"/>
              <w:jc w:val="center"/>
              <w:rPr>
                <w:rFonts w:ascii="Arial" w:hAnsi="Arial" w:cs="Arial"/>
                <w:color w:val="000000" w:themeColor="text1"/>
                <w:szCs w:val="22"/>
              </w:rPr>
            </w:pPr>
            <w:r w:rsidRPr="00E9029C">
              <w:rPr>
                <w:rFonts w:ascii="Arial" w:hAnsi="Arial" w:cs="Arial"/>
                <w:color w:val="000000" w:themeColor="text1"/>
                <w:szCs w:val="22"/>
              </w:rPr>
              <w:t>0,1</w:t>
            </w:r>
          </w:p>
        </w:tc>
      </w:tr>
    </w:tbl>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В случае осуществления торговли смешанным ассортиментом товаров применяется наибольшее значение коэффициента </w:t>
      </w:r>
      <w:proofErr w:type="spellStart"/>
      <w:r w:rsidRPr="00E9029C">
        <w:rPr>
          <w:rFonts w:ascii="Arial" w:hAnsi="Arial" w:cs="Arial"/>
          <w:color w:val="000000" w:themeColor="text1"/>
          <w:szCs w:val="22"/>
        </w:rPr>
        <w:t>Кас</w:t>
      </w:r>
      <w:proofErr w:type="spellEnd"/>
      <w:r w:rsidRPr="00E9029C">
        <w:rPr>
          <w:rFonts w:ascii="Arial" w:hAnsi="Arial" w:cs="Arial"/>
          <w:color w:val="000000" w:themeColor="text1"/>
          <w:szCs w:val="22"/>
        </w:rPr>
        <w:t>.</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4. Значения коэффициента, учитывающего особенности места ведения предпринимательской деятельности (Км), устанавливаются в следующих размерах:</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а) Км = 0,2 - для организаций и предприятий, осуществляющих свою деятельность на территориях сельских населенных пунктов с численностью населения до 500 чел.;</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б) Км = 0,4 - для организаций и индивидуальных предпринимателей, осуществляющих свою деятельность на территориях сельских населенных пунктов с численностью от 501 чел. и более;</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в) Км = 0,8 - для организаций и индивидуальных предпринимателей, осуществляющих свою деятельность на территории г. Котельниково.</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5. Значения коэффициента, учитывающего иные особенности ведения предпринимательской деятельности (Кио), устанавливаются в следующих размерах:</w:t>
      </w:r>
    </w:p>
    <w:p w:rsidR="00E9029C" w:rsidRPr="00E9029C" w:rsidRDefault="00E9029C">
      <w:pPr>
        <w:pStyle w:val="ConsPlusNormal"/>
        <w:ind w:firstLine="540"/>
        <w:jc w:val="both"/>
        <w:rPr>
          <w:rFonts w:ascii="Arial" w:hAnsi="Arial" w:cs="Arial"/>
          <w:color w:val="000000" w:themeColor="text1"/>
          <w:szCs w:val="22"/>
        </w:rPr>
      </w:pPr>
      <w:bookmarkStart w:id="2" w:name="P246"/>
      <w:bookmarkEnd w:id="2"/>
      <w:r w:rsidRPr="00E9029C">
        <w:rPr>
          <w:rFonts w:ascii="Arial" w:hAnsi="Arial" w:cs="Arial"/>
          <w:color w:val="000000" w:themeColor="text1"/>
          <w:szCs w:val="22"/>
        </w:rPr>
        <w:t>а) Кио = 0,5, применяется индивидуальными предпринимателями, не использующими труд наемных работников:</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инвалидами I группы;</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инвалидами II группы;</w:t>
      </w:r>
    </w:p>
    <w:p w:rsidR="00E9029C" w:rsidRPr="00E9029C" w:rsidRDefault="00E9029C">
      <w:pPr>
        <w:pStyle w:val="ConsPlusNormal"/>
        <w:ind w:firstLine="540"/>
        <w:jc w:val="both"/>
        <w:rPr>
          <w:rFonts w:ascii="Arial" w:hAnsi="Arial" w:cs="Arial"/>
          <w:color w:val="000000" w:themeColor="text1"/>
          <w:szCs w:val="22"/>
        </w:rPr>
      </w:pPr>
      <w:bookmarkStart w:id="3" w:name="P249"/>
      <w:bookmarkEnd w:id="3"/>
      <w:r w:rsidRPr="00E9029C">
        <w:rPr>
          <w:rFonts w:ascii="Arial" w:hAnsi="Arial" w:cs="Arial"/>
          <w:color w:val="000000" w:themeColor="text1"/>
          <w:szCs w:val="22"/>
        </w:rPr>
        <w:t>б) Кио = 0,75, применяется индивидуальными предпринимателями, не использующими труд наемных работников:</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одним из родителей многодетной семьи;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членами семейных детских домов;</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одинокими матерями, на содержании которых находится ребенок-инвалид;</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гражданами, получившими или перенесшими лучевую болезнь и (или) другие заболевания, связанные с радиационным воздействием вследствие чернобыльской катастрофы либо с работами по ликвидации последствий катастрофы на Чернобыльской АЭС;</w:t>
      </w:r>
    </w:p>
    <w:p w:rsidR="00E9029C" w:rsidRPr="00E9029C" w:rsidRDefault="00E9029C">
      <w:pPr>
        <w:pStyle w:val="ConsPlusNormal"/>
        <w:ind w:firstLine="540"/>
        <w:jc w:val="both"/>
        <w:rPr>
          <w:rFonts w:ascii="Arial" w:hAnsi="Arial" w:cs="Arial"/>
          <w:color w:val="000000" w:themeColor="text1"/>
          <w:szCs w:val="22"/>
        </w:rPr>
      </w:pPr>
      <w:bookmarkStart w:id="4" w:name="P254"/>
      <w:bookmarkEnd w:id="4"/>
      <w:r w:rsidRPr="00E9029C">
        <w:rPr>
          <w:rFonts w:ascii="Arial" w:hAnsi="Arial" w:cs="Arial"/>
          <w:color w:val="000000" w:themeColor="text1"/>
          <w:szCs w:val="22"/>
        </w:rPr>
        <w:t>в) Кио = 0,8, применяется организациями и индивидуальными предпринимателями, осуществляющими деятельность по:</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розничной торговле через объекты стационарной торговой сети;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оказанию услуг общественного питания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lastRenderedPageBreak/>
        <w:t>и выплачивающими среднемесячную заработную плату на одного работника среднесписочной численности (рублей в месяц) в размере выше уровня по ВЭД;</w:t>
      </w:r>
    </w:p>
    <w:p w:rsidR="00E9029C" w:rsidRPr="00E9029C" w:rsidRDefault="00E9029C">
      <w:pPr>
        <w:pStyle w:val="ConsPlusNormal"/>
        <w:ind w:firstLine="540"/>
        <w:jc w:val="both"/>
        <w:rPr>
          <w:rFonts w:ascii="Arial" w:hAnsi="Arial" w:cs="Arial"/>
          <w:color w:val="000000" w:themeColor="text1"/>
          <w:szCs w:val="22"/>
        </w:rPr>
      </w:pPr>
      <w:bookmarkStart w:id="5" w:name="P258"/>
      <w:bookmarkEnd w:id="5"/>
      <w:r w:rsidRPr="00E9029C">
        <w:rPr>
          <w:rFonts w:ascii="Arial" w:hAnsi="Arial" w:cs="Arial"/>
          <w:color w:val="000000" w:themeColor="text1"/>
          <w:szCs w:val="22"/>
        </w:rPr>
        <w:t>г) Кио = 0,9, применяется организациями и индивидуальными предпринимателями, осуществляющими деятельность по:</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розничной торговле через объекты стационарной торговой сети;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оказанию услуг общественного питания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и выплачивающими среднемесячную заработную плату на одного работника среднесписочной численности (рублей в месяц) в размере от утвержденной величины прожиточного минимума до уровня по ВЭД;</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д) Кио = 1, применяется для всех остальных категорий налогоплательщиков и при отсутствии данных на выплату работникам заработной платы (доходы).</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Право на применение коэффициентов, указанных в </w:t>
      </w:r>
      <w:hyperlink w:anchor="P246" w:history="1">
        <w:r w:rsidRPr="00E9029C">
          <w:rPr>
            <w:rFonts w:ascii="Arial" w:hAnsi="Arial" w:cs="Arial"/>
            <w:color w:val="000000" w:themeColor="text1"/>
            <w:szCs w:val="22"/>
          </w:rPr>
          <w:t>подпунктах "а"</w:t>
        </w:r>
      </w:hyperlink>
      <w:r w:rsidRPr="00E9029C">
        <w:rPr>
          <w:rFonts w:ascii="Arial" w:hAnsi="Arial" w:cs="Arial"/>
          <w:color w:val="000000" w:themeColor="text1"/>
          <w:szCs w:val="22"/>
        </w:rPr>
        <w:t xml:space="preserve"> и </w:t>
      </w:r>
      <w:hyperlink w:anchor="P249" w:history="1">
        <w:r w:rsidRPr="00E9029C">
          <w:rPr>
            <w:rFonts w:ascii="Arial" w:hAnsi="Arial" w:cs="Arial"/>
            <w:color w:val="000000" w:themeColor="text1"/>
            <w:szCs w:val="22"/>
          </w:rPr>
          <w:t>"б" пункта 5</w:t>
        </w:r>
      </w:hyperlink>
      <w:r w:rsidRPr="00E9029C">
        <w:rPr>
          <w:rFonts w:ascii="Arial" w:hAnsi="Arial" w:cs="Arial"/>
          <w:color w:val="000000" w:themeColor="text1"/>
          <w:szCs w:val="22"/>
        </w:rPr>
        <w:t xml:space="preserve">, подтверждается соответствующими документами.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 предусмотренным </w:t>
      </w:r>
      <w:hyperlink w:anchor="P246" w:history="1">
        <w:r w:rsidRPr="00E9029C">
          <w:rPr>
            <w:rFonts w:ascii="Arial" w:hAnsi="Arial" w:cs="Arial"/>
            <w:color w:val="000000" w:themeColor="text1"/>
            <w:szCs w:val="22"/>
          </w:rPr>
          <w:t>подпунктами "а"</w:t>
        </w:r>
      </w:hyperlink>
      <w:r w:rsidRPr="00E9029C">
        <w:rPr>
          <w:rFonts w:ascii="Arial" w:hAnsi="Arial" w:cs="Arial"/>
          <w:color w:val="000000" w:themeColor="text1"/>
          <w:szCs w:val="22"/>
        </w:rPr>
        <w:t xml:space="preserve"> и </w:t>
      </w:r>
      <w:hyperlink w:anchor="P249" w:history="1">
        <w:r w:rsidRPr="00E9029C">
          <w:rPr>
            <w:rFonts w:ascii="Arial" w:hAnsi="Arial" w:cs="Arial"/>
            <w:color w:val="000000" w:themeColor="text1"/>
            <w:szCs w:val="22"/>
          </w:rPr>
          <w:t>"б" пункта 5</w:t>
        </w:r>
      </w:hyperlink>
      <w:r w:rsidRPr="00E9029C">
        <w:rPr>
          <w:rFonts w:ascii="Arial" w:hAnsi="Arial" w:cs="Arial"/>
          <w:color w:val="000000" w:themeColor="text1"/>
          <w:szCs w:val="22"/>
        </w:rPr>
        <w:t>, применяется наименьший коэффициент.</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Для применения коэффициентов, указанных в </w:t>
      </w:r>
      <w:hyperlink w:anchor="P254" w:history="1">
        <w:r w:rsidRPr="00E9029C">
          <w:rPr>
            <w:rFonts w:ascii="Arial" w:hAnsi="Arial" w:cs="Arial"/>
            <w:color w:val="000000" w:themeColor="text1"/>
            <w:szCs w:val="22"/>
          </w:rPr>
          <w:t>подпунктах "в"</w:t>
        </w:r>
      </w:hyperlink>
      <w:r w:rsidRPr="00E9029C">
        <w:rPr>
          <w:rFonts w:ascii="Arial" w:hAnsi="Arial" w:cs="Arial"/>
          <w:color w:val="000000" w:themeColor="text1"/>
          <w:szCs w:val="22"/>
        </w:rPr>
        <w:t xml:space="preserve"> и </w:t>
      </w:r>
      <w:hyperlink w:anchor="P258" w:history="1">
        <w:r w:rsidRPr="00E9029C">
          <w:rPr>
            <w:rFonts w:ascii="Arial" w:hAnsi="Arial" w:cs="Arial"/>
            <w:color w:val="000000" w:themeColor="text1"/>
            <w:szCs w:val="22"/>
          </w:rPr>
          <w:t>"г" пункта 5</w:t>
        </w:r>
      </w:hyperlink>
      <w:r w:rsidRPr="00E9029C">
        <w:rPr>
          <w:rFonts w:ascii="Arial" w:hAnsi="Arial" w:cs="Arial"/>
          <w:color w:val="000000" w:themeColor="text1"/>
          <w:szCs w:val="22"/>
        </w:rPr>
        <w:t xml:space="preserve">, 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 Величина выплачиваемой среднемесячной заработной платы на одного работника определяется налогоплательщиком в целом по предприятию с учетом отработанного времени за налоговый период на основании данных справок о доходах физических лиц по </w:t>
      </w:r>
      <w:hyperlink r:id="rId17" w:history="1">
        <w:r w:rsidRPr="00E9029C">
          <w:rPr>
            <w:rFonts w:ascii="Arial" w:hAnsi="Arial" w:cs="Arial"/>
            <w:color w:val="000000" w:themeColor="text1"/>
            <w:szCs w:val="22"/>
          </w:rPr>
          <w:t>форме N 2-НДФЛ</w:t>
        </w:r>
      </w:hyperlink>
      <w:r w:rsidRPr="00E9029C">
        <w:rPr>
          <w:rFonts w:ascii="Arial" w:hAnsi="Arial" w:cs="Arial"/>
          <w:color w:val="000000" w:themeColor="text1"/>
          <w:szCs w:val="22"/>
        </w:rPr>
        <w:t xml:space="preserve">, а также данных на выплату работникам заработной платы в соответствии с </w:t>
      </w:r>
      <w:hyperlink r:id="rId18" w:history="1">
        <w:r w:rsidRPr="00E9029C">
          <w:rPr>
            <w:rFonts w:ascii="Arial" w:hAnsi="Arial" w:cs="Arial"/>
            <w:color w:val="000000" w:themeColor="text1"/>
            <w:szCs w:val="22"/>
          </w:rPr>
          <w:t>Постановлением</w:t>
        </w:r>
      </w:hyperlink>
      <w:r w:rsidRPr="00E9029C">
        <w:rPr>
          <w:rFonts w:ascii="Arial" w:hAnsi="Arial" w:cs="Arial"/>
          <w:color w:val="000000" w:themeColor="text1"/>
          <w:szCs w:val="22"/>
        </w:rPr>
        <w:t xml:space="preserve"> Росстата от 20.11.2006 N 69 "Порядок заполнения и представления унифицированных форм федерального государственного статистического наблюдения".</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Величина среднемесячной заработной платы на одного работника, применяемая при расчете коэффициента базовой доходности (Кио), подтверждается копией расчета по авансовым платежам по страховым взносам на обязательное страхование для лиц, производящих выплаты физическим лицам, за соответствующий налоговый период, заверенной в установленном порядке в МИФНС России N 8 по Волгоградской области.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6. Значения коэффициента, учитывающего режим работы (</w:t>
      </w:r>
      <w:proofErr w:type="spellStart"/>
      <w:r w:rsidRPr="00E9029C">
        <w:rPr>
          <w:rFonts w:ascii="Arial" w:hAnsi="Arial" w:cs="Arial"/>
          <w:color w:val="000000" w:themeColor="text1"/>
          <w:szCs w:val="22"/>
        </w:rPr>
        <w:t>Крр</w:t>
      </w:r>
      <w:proofErr w:type="spellEnd"/>
      <w:r w:rsidRPr="00E9029C">
        <w:rPr>
          <w:rFonts w:ascii="Arial" w:hAnsi="Arial" w:cs="Arial"/>
          <w:color w:val="000000" w:themeColor="text1"/>
          <w:szCs w:val="22"/>
        </w:rPr>
        <w:t>), устанавливаются в размерах:</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а) </w:t>
      </w:r>
      <w:proofErr w:type="spellStart"/>
      <w:r w:rsidRPr="00E9029C">
        <w:rPr>
          <w:rFonts w:ascii="Arial" w:hAnsi="Arial" w:cs="Arial"/>
          <w:color w:val="000000" w:themeColor="text1"/>
          <w:szCs w:val="22"/>
        </w:rPr>
        <w:t>Крр</w:t>
      </w:r>
      <w:proofErr w:type="spellEnd"/>
      <w:r w:rsidRPr="00E9029C">
        <w:rPr>
          <w:rFonts w:ascii="Arial" w:hAnsi="Arial" w:cs="Arial"/>
          <w:color w:val="000000" w:themeColor="text1"/>
          <w:szCs w:val="22"/>
        </w:rPr>
        <w:t xml:space="preserve"> = 0,85, применяется для организаций и индивидуальных предпринимателей, осуществляющих розничную торговлю в объектах нестационарной торговой сети;</w:t>
      </w:r>
    </w:p>
    <w:p w:rsidR="00E9029C" w:rsidRPr="00E9029C" w:rsidRDefault="00E9029C">
      <w:pPr>
        <w:pStyle w:val="ConsPlusNormal"/>
        <w:ind w:firstLine="540"/>
        <w:jc w:val="both"/>
        <w:rPr>
          <w:rFonts w:ascii="Arial" w:hAnsi="Arial" w:cs="Arial"/>
          <w:color w:val="000000" w:themeColor="text1"/>
          <w:szCs w:val="22"/>
        </w:rPr>
      </w:pPr>
      <w:r w:rsidRPr="00E9029C">
        <w:rPr>
          <w:rFonts w:ascii="Arial" w:hAnsi="Arial" w:cs="Arial"/>
          <w:color w:val="000000" w:themeColor="text1"/>
          <w:szCs w:val="22"/>
        </w:rPr>
        <w:t xml:space="preserve">б) </w:t>
      </w:r>
      <w:proofErr w:type="spellStart"/>
      <w:r w:rsidRPr="00E9029C">
        <w:rPr>
          <w:rFonts w:ascii="Arial" w:hAnsi="Arial" w:cs="Arial"/>
          <w:color w:val="000000" w:themeColor="text1"/>
          <w:szCs w:val="22"/>
        </w:rPr>
        <w:t>Крр</w:t>
      </w:r>
      <w:proofErr w:type="spellEnd"/>
      <w:r w:rsidRPr="00E9029C">
        <w:rPr>
          <w:rFonts w:ascii="Arial" w:hAnsi="Arial" w:cs="Arial"/>
          <w:color w:val="000000" w:themeColor="text1"/>
          <w:szCs w:val="22"/>
        </w:rPr>
        <w:t xml:space="preserve"> = 1, применяется для всех остальных категорий налогоплательщиков.</w:t>
      </w:r>
    </w:p>
    <w:p w:rsidR="00E9029C" w:rsidRPr="00E9029C" w:rsidRDefault="00E9029C">
      <w:pPr>
        <w:pStyle w:val="ConsPlusNormal"/>
        <w:jc w:val="both"/>
        <w:rPr>
          <w:rFonts w:ascii="Arial" w:hAnsi="Arial" w:cs="Arial"/>
          <w:color w:val="000000" w:themeColor="text1"/>
          <w:szCs w:val="22"/>
        </w:rPr>
      </w:pPr>
    </w:p>
    <w:p w:rsidR="00E9029C" w:rsidRPr="00E9029C" w:rsidRDefault="00E9029C">
      <w:pPr>
        <w:pStyle w:val="ConsPlusNormal"/>
        <w:jc w:val="right"/>
        <w:rPr>
          <w:rFonts w:ascii="Arial" w:hAnsi="Arial" w:cs="Arial"/>
          <w:i/>
          <w:color w:val="000000" w:themeColor="text1"/>
          <w:szCs w:val="22"/>
        </w:rPr>
      </w:pPr>
      <w:r w:rsidRPr="00E9029C">
        <w:rPr>
          <w:rFonts w:ascii="Arial" w:hAnsi="Arial" w:cs="Arial"/>
          <w:i/>
          <w:color w:val="000000" w:themeColor="text1"/>
          <w:szCs w:val="22"/>
        </w:rPr>
        <w:t xml:space="preserve">Глава </w:t>
      </w:r>
      <w:proofErr w:type="spellStart"/>
      <w:r w:rsidRPr="00E9029C">
        <w:rPr>
          <w:rFonts w:ascii="Arial" w:hAnsi="Arial" w:cs="Arial"/>
          <w:i/>
          <w:color w:val="000000" w:themeColor="text1"/>
          <w:szCs w:val="22"/>
        </w:rPr>
        <w:t>Котельниковского</w:t>
      </w:r>
      <w:proofErr w:type="spellEnd"/>
    </w:p>
    <w:p w:rsidR="00E9029C" w:rsidRPr="00E9029C" w:rsidRDefault="00E9029C">
      <w:pPr>
        <w:pStyle w:val="ConsPlusNormal"/>
        <w:jc w:val="right"/>
        <w:rPr>
          <w:rFonts w:ascii="Arial" w:hAnsi="Arial" w:cs="Arial"/>
          <w:i/>
          <w:color w:val="000000" w:themeColor="text1"/>
          <w:szCs w:val="22"/>
        </w:rPr>
      </w:pPr>
      <w:r w:rsidRPr="00E9029C">
        <w:rPr>
          <w:rFonts w:ascii="Arial" w:hAnsi="Arial" w:cs="Arial"/>
          <w:i/>
          <w:color w:val="000000" w:themeColor="text1"/>
          <w:szCs w:val="22"/>
        </w:rPr>
        <w:t>муниципального района</w:t>
      </w:r>
    </w:p>
    <w:p w:rsidR="00E9029C" w:rsidRPr="00E9029C" w:rsidRDefault="00E9029C">
      <w:pPr>
        <w:pStyle w:val="ConsPlusNormal"/>
        <w:jc w:val="right"/>
        <w:rPr>
          <w:rFonts w:ascii="Arial" w:hAnsi="Arial" w:cs="Arial"/>
          <w:color w:val="000000" w:themeColor="text1"/>
          <w:szCs w:val="22"/>
        </w:rPr>
      </w:pPr>
      <w:proofErr w:type="spellStart"/>
      <w:r w:rsidRPr="00E9029C">
        <w:rPr>
          <w:rFonts w:ascii="Arial" w:hAnsi="Arial" w:cs="Arial"/>
          <w:i/>
          <w:color w:val="000000" w:themeColor="text1"/>
          <w:szCs w:val="22"/>
        </w:rPr>
        <w:t>В.В.Кудинов</w:t>
      </w:r>
      <w:proofErr w:type="spellEnd"/>
    </w:p>
    <w:p w:rsidR="00E9029C" w:rsidRPr="00E9029C" w:rsidRDefault="00E9029C">
      <w:pPr>
        <w:pStyle w:val="ConsPlusNormal"/>
        <w:jc w:val="both"/>
        <w:rPr>
          <w:rFonts w:ascii="Arial" w:hAnsi="Arial" w:cs="Arial"/>
          <w:color w:val="000000" w:themeColor="text1"/>
          <w:szCs w:val="22"/>
        </w:rPr>
      </w:pPr>
    </w:p>
    <w:p w:rsidR="00D95220" w:rsidRPr="00E9029C" w:rsidRDefault="00D95220">
      <w:pPr>
        <w:rPr>
          <w:rFonts w:ascii="Arial" w:hAnsi="Arial" w:cs="Arial"/>
          <w:color w:val="000000" w:themeColor="text1"/>
        </w:rPr>
      </w:pPr>
    </w:p>
    <w:sectPr w:rsidR="00D95220" w:rsidRPr="00E9029C" w:rsidSect="00E9029C">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9C"/>
    <w:rsid w:val="006A7721"/>
    <w:rsid w:val="00D95220"/>
    <w:rsid w:val="00E9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F4126-4930-4812-AE8F-91956265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2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2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2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5B546B1AEA54114115AAD9F1C9EA34B07EE43C5049D9C6A6AD38F1D1J8C2O" TargetMode="External"/><Relationship Id="rId13" Type="http://schemas.openxmlformats.org/officeDocument/2006/relationships/hyperlink" Target="consultantplus://offline/ref=435B546B1AEA54114115B4D4E7A5B531B274BB335649DB98FDFC3EA68ED22DBC2018FF7A9D3CA7B27A4DDA37J9C8O" TargetMode="External"/><Relationship Id="rId18" Type="http://schemas.openxmlformats.org/officeDocument/2006/relationships/hyperlink" Target="consultantplus://offline/ref=435B546B1AEA54114115AAD9F1C9EA34B57BE13A524084CCAEF434F3JDC6O" TargetMode="External"/><Relationship Id="rId3" Type="http://schemas.openxmlformats.org/officeDocument/2006/relationships/webSettings" Target="webSettings.xml"/><Relationship Id="rId7" Type="http://schemas.openxmlformats.org/officeDocument/2006/relationships/hyperlink" Target="consultantplus://offline/ref=435B546B1AEA54114115AAD9F1C9EA34B07EE136524AD9C6A6AD38F1D1822BE96058F92FDE78ABB7J7C8O" TargetMode="External"/><Relationship Id="rId12" Type="http://schemas.openxmlformats.org/officeDocument/2006/relationships/hyperlink" Target="consultantplus://offline/ref=435B546B1AEA54114115B4D4E7A5B531B274BB335649DB98FDFC3EA68ED22DBC2018FF7A9D3CA7B27A4DDA37J9C7O" TargetMode="External"/><Relationship Id="rId17" Type="http://schemas.openxmlformats.org/officeDocument/2006/relationships/hyperlink" Target="consultantplus://offline/ref=435B546B1AEA54114115AAD9F1C9EA34BB79E0365E4084CCAEF434F3D68D74FE6711F52EDE78ABJBC0O" TargetMode="External"/><Relationship Id="rId2" Type="http://schemas.openxmlformats.org/officeDocument/2006/relationships/settings" Target="settings.xml"/><Relationship Id="rId16" Type="http://schemas.openxmlformats.org/officeDocument/2006/relationships/hyperlink" Target="consultantplus://offline/ref=435B546B1AEA54114115B4D4E7A5B531B274BB335649DB98FDFC3EA68ED22DBC2018FF7A9D3CA7B27A4DDA36J9C5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5B546B1AEA54114115AAD9F1C9EA34B07EE137534AD9C6A6AD38F1D1822BE96058F92FDE7BADB1J7CFO" TargetMode="External"/><Relationship Id="rId11" Type="http://schemas.openxmlformats.org/officeDocument/2006/relationships/hyperlink" Target="consultantplus://offline/ref=435B546B1AEA54114115B4D4E7A5B531B274BB335649DB98FDFC3EA68ED22DBC2018FF7A9D3CA7B27A4DDA37J9C6O" TargetMode="External"/><Relationship Id="rId5" Type="http://schemas.openxmlformats.org/officeDocument/2006/relationships/hyperlink" Target="consultantplus://offline/ref=435B546B1AEA54114115B4D4E7A5B531B274BB33564FDA96FEFE3EA68ED22DBC2018FF7A9D3CA7B27A4DDA37J9C6O" TargetMode="External"/><Relationship Id="rId15" Type="http://schemas.openxmlformats.org/officeDocument/2006/relationships/hyperlink" Target="consultantplus://offline/ref=435B546B1AEA54114115B4D4E7A5B531B274BB335649DB98FDFC3EA68ED22DBC2018FF7A9D3CA7B27A4DDA36J9C2O" TargetMode="External"/><Relationship Id="rId10" Type="http://schemas.openxmlformats.org/officeDocument/2006/relationships/hyperlink" Target="consultantplus://offline/ref=435B546B1AEA54114115B4D4E7A5B531B274BB33564FDA96FEFE3EA68ED22DBC2018FF7A9D3CA7B27A4DDA37J9C6O" TargetMode="External"/><Relationship Id="rId19" Type="http://schemas.openxmlformats.org/officeDocument/2006/relationships/fontTable" Target="fontTable.xml"/><Relationship Id="rId4" Type="http://schemas.openxmlformats.org/officeDocument/2006/relationships/hyperlink" Target="consultantplus://offline/ref=435B546B1AEA54114115B4D4E7A5B531B274BB335649DB98FDFC3EA68ED22DBC2018FF7A9D3CA7B27A4DDA37J9C6O" TargetMode="External"/><Relationship Id="rId9" Type="http://schemas.openxmlformats.org/officeDocument/2006/relationships/hyperlink" Target="consultantplus://offline/ref=435B546B1AEA54114115AAD9F1C9EA34B07EE43C5F4DD9C6A6AD38F1D1J8C2O" TargetMode="External"/><Relationship Id="rId14" Type="http://schemas.openxmlformats.org/officeDocument/2006/relationships/hyperlink" Target="consultantplus://offline/ref=435B546B1AEA54114115B4D4E7A5B531B274BB335649DB98FDFC3EA68ED22DBC2018FF7A9D3CA7B27A4DDA37J9C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Помещиков Сергей Петрович</dc:creator>
  <cp:keywords/>
  <dc:description/>
  <cp:lastModifiedBy>Помещиков Сергей Петрович</cp:lastModifiedBy>
  <cp:revision>2</cp:revision>
  <dcterms:created xsi:type="dcterms:W3CDTF">2017-05-10T14:04:00Z</dcterms:created>
  <dcterms:modified xsi:type="dcterms:W3CDTF">2017-05-10T14:04:00Z</dcterms:modified>
</cp:coreProperties>
</file>